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textAlignment w:val="center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1</w:t>
      </w:r>
    </w:p>
    <w:tbl>
      <w:tblPr>
        <w:tblW w:w="9639" w:type="dxa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709"/>
        <w:gridCol w:w="1007"/>
        <w:gridCol w:w="3828"/>
        <w:gridCol w:w="850"/>
        <w:gridCol w:w="111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61" w:firstLineChars="100"/>
              <w:jc w:val="left"/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>新田县教育系统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>年引进急需紧缺专业人才需求目录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仿宋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全日制本科二批及以上学历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中国语言文学类及语文教育专业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具有高中及以上相应学科教师资格证。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数学类及数学教育类专业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高中心理教师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心理学类及心理健康教育专业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地理学类、地质学类、天文学类、大气科学类、海洋科学类及地理教育专业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物理学类、力学类及教育学类物理教育相关专业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生物学类及教育学类生物教育专业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历史学类及教育学类物历史教育专业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高中日语教师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外国语言文学类日语相关专业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政治学类、哲学类、法学类及政治教育专业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体育学类及体育教育专业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职中文秘专业教师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中国语言文学类相关专业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职中师范专业教师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教育学类相关专业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职中数控加工与机床维修教师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机械类、自动化、控制科学与工程类相关专业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中国语言文学类及语文教育专业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具有初中及以上相应学科教师资格证。</w:t>
            </w: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数学类及数学教育类专业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外国语言文学类英语相关专业及英语教育专业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物理学类、力学类及教育学类物理教育相关专业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生物学类及教育学类生物教育专业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地理学类、地质学类、天文学类、大气科学类、海洋科学类及地理教育专业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历史学类及教育学类物历史教育专业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2021-05-11T08:39:05Z</dcterms:created>
  <dc:creator>Administrator</dc:creator>
  <cp:lastModifiedBy>c傲然</cp:lastModifiedBy>
  <dcterms:modified xsi:type="dcterms:W3CDTF">2021-05-11T08:39:20Z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46EB3CC4A7BA4947BE4EF5AEAE6D6992</vt:lpwstr>
  </property>
</Properties>
</file>